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6856" w14:textId="53AA5D30" w:rsidR="008C4CB3" w:rsidRDefault="001813E9" w:rsidP="000F0512">
      <w:pPr>
        <w:pStyle w:val="Default"/>
        <w:jc w:val="both"/>
        <w:rPr>
          <w:rFonts w:asciiTheme="majorHAnsi" w:hAnsiTheme="majorHAnsi" w:cs="Lucida Sans Unicode"/>
          <w:b/>
          <w:sz w:val="18"/>
          <w:szCs w:val="18"/>
          <w:lang w:val="en-GB"/>
        </w:rPr>
      </w:pPr>
      <w:r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>The B</w:t>
      </w:r>
      <w:r w:rsidR="000D775B"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>oard of Directors’</w:t>
      </w:r>
      <w:r w:rsidR="003C1B1A"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 statement</w:t>
      </w:r>
      <w:r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 </w:t>
      </w:r>
      <w:r w:rsidR="008563D2"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>pursuant to</w:t>
      </w:r>
      <w:r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 </w:t>
      </w:r>
      <w:r w:rsidR="008563D2"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Chapter 19, Section 22 </w:t>
      </w:r>
      <w:r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of the Swedish Companies Act </w:t>
      </w:r>
      <w:r w:rsidR="000D775B"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>(2005:</w:t>
      </w:r>
      <w:r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>551)</w:t>
      </w:r>
    </w:p>
    <w:p w14:paraId="49C5EF7A" w14:textId="77777777" w:rsidR="000F0512" w:rsidRPr="000F0512" w:rsidRDefault="000F0512" w:rsidP="000F0512">
      <w:pPr>
        <w:pStyle w:val="Default"/>
        <w:jc w:val="both"/>
        <w:rPr>
          <w:rFonts w:asciiTheme="majorHAnsi" w:hAnsiTheme="majorHAnsi" w:cs="Lucida Sans Unicode"/>
          <w:b/>
          <w:sz w:val="18"/>
          <w:szCs w:val="18"/>
          <w:lang w:val="en-GB"/>
        </w:rPr>
      </w:pPr>
    </w:p>
    <w:p w14:paraId="4B16DE8B" w14:textId="7965E15C" w:rsidR="001813E9" w:rsidRPr="00122A17" w:rsidRDefault="001813E9" w:rsidP="00295657">
      <w:pPr>
        <w:tabs>
          <w:tab w:val="left" w:pos="540"/>
        </w:tabs>
        <w:spacing w:line="276" w:lineRule="auto"/>
        <w:jc w:val="both"/>
        <w:rPr>
          <w:rFonts w:asciiTheme="majorHAnsi" w:hAnsiTheme="majorHAnsi" w:cs="Lucida Sans Unicode"/>
          <w:sz w:val="18"/>
          <w:szCs w:val="18"/>
          <w:lang w:val="en-GB"/>
        </w:rPr>
      </w:pPr>
      <w:r w:rsidRPr="00122A17">
        <w:rPr>
          <w:rFonts w:asciiTheme="majorHAnsi" w:hAnsiTheme="majorHAnsi" w:cs="Lucida Sans Unicode"/>
          <w:sz w:val="18"/>
          <w:szCs w:val="18"/>
          <w:lang w:val="en-GB"/>
        </w:rPr>
        <w:t>T</w:t>
      </w:r>
      <w:r w:rsidR="00F65059" w:rsidRPr="00122A17">
        <w:rPr>
          <w:rFonts w:asciiTheme="majorHAnsi" w:hAnsiTheme="majorHAnsi" w:cs="Lucida Sans Unicode"/>
          <w:sz w:val="18"/>
          <w:szCs w:val="18"/>
          <w:lang w:val="en-GB"/>
        </w:rPr>
        <w:t>he Board of Directors of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</w:t>
      </w:r>
      <w:r w:rsidR="00AF56E8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ContextVision AB (publ), 556377-8900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>(</w:t>
      </w:r>
      <w:r w:rsidR="00BC0E9F" w:rsidRPr="00122A17">
        <w:rPr>
          <w:rFonts w:asciiTheme="majorHAnsi" w:hAnsiTheme="majorHAnsi" w:cs="Lucida Sans Unicode"/>
          <w:sz w:val="18"/>
          <w:szCs w:val="18"/>
          <w:lang w:val="en-GB"/>
        </w:rPr>
        <w:t>the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“Company”), may hereby, in accordance with Chapter 19, Section 22 of the Swedish Companies </w:t>
      </w:r>
      <w:r w:rsidR="003C1B1A" w:rsidRPr="00122A17">
        <w:rPr>
          <w:rFonts w:asciiTheme="majorHAnsi" w:hAnsiTheme="majorHAnsi" w:cs="Lucida Sans Unicode"/>
          <w:sz w:val="18"/>
          <w:szCs w:val="18"/>
          <w:lang w:val="en-GB"/>
        </w:rPr>
        <w:t>Act, issue the following statement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</w:t>
      </w:r>
      <w:r w:rsidR="00CC57E5" w:rsidRPr="00122A17">
        <w:rPr>
          <w:rFonts w:asciiTheme="majorHAnsi" w:hAnsiTheme="majorHAnsi" w:cs="Lucida Sans Unicode"/>
          <w:sz w:val="18"/>
          <w:szCs w:val="18"/>
          <w:lang w:val="en-GB"/>
        </w:rPr>
        <w:t>by reason of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the proposed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>resolution</w:t>
      </w:r>
      <w:r w:rsidR="00BC0E9F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regarding </w:t>
      </w:r>
      <w:r w:rsidR="00BC0E9F" w:rsidRPr="00122A17">
        <w:rPr>
          <w:rFonts w:asciiTheme="majorHAnsi" w:hAnsiTheme="majorHAnsi" w:cs="Lucida Sans Unicode"/>
          <w:sz w:val="18"/>
          <w:szCs w:val="18"/>
          <w:lang w:val="en-GB"/>
        </w:rPr>
        <w:t>autho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>riz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>ation for the Board of Directors to</w:t>
      </w:r>
      <w:r w:rsidR="00BC0E9F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>resolve</w:t>
      </w:r>
      <w:r w:rsidR="00BC0E9F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on the repurchase of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the Company’s </w:t>
      </w:r>
      <w:r w:rsidR="00BC0E9F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own 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>shares as propo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sed by the Board of Directors to the </w:t>
      </w:r>
      <w:r w:rsidR="00295657" w:rsidRPr="00122A17">
        <w:rPr>
          <w:rFonts w:asciiTheme="majorHAnsi" w:hAnsiTheme="majorHAnsi" w:cs="Lucida Sans Unicode"/>
          <w:sz w:val="18"/>
          <w:szCs w:val="18"/>
          <w:lang w:val="en-GB"/>
        </w:rPr>
        <w:t>Extraordinary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General Meeting on</w:t>
      </w:r>
      <w:r w:rsidR="00295657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2</w:t>
      </w:r>
      <w:r w:rsidR="00F26C1F">
        <w:rPr>
          <w:rFonts w:asciiTheme="majorHAnsi" w:hAnsiTheme="majorHAnsi" w:cs="Lucida Sans Unicode"/>
          <w:sz w:val="18"/>
          <w:szCs w:val="18"/>
          <w:lang w:val="en-GB"/>
        </w:rPr>
        <w:t>0</w:t>
      </w:r>
      <w:r w:rsidR="00295657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</w:t>
      </w:r>
      <w:r w:rsidR="00F26C1F">
        <w:rPr>
          <w:rFonts w:asciiTheme="majorHAnsi" w:hAnsiTheme="majorHAnsi" w:cs="Lucida Sans Unicode"/>
          <w:sz w:val="18"/>
          <w:szCs w:val="18"/>
          <w:lang w:val="en-GB"/>
        </w:rPr>
        <w:t>November</w:t>
      </w:r>
      <w:r w:rsidR="00295657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2024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>.</w:t>
      </w:r>
    </w:p>
    <w:p w14:paraId="71B05A22" w14:textId="63977B7F" w:rsidR="00BC09A1" w:rsidRPr="00122A17" w:rsidRDefault="00BC09A1" w:rsidP="00295657">
      <w:pPr>
        <w:tabs>
          <w:tab w:val="left" w:pos="540"/>
        </w:tabs>
        <w:spacing w:line="276" w:lineRule="auto"/>
        <w:jc w:val="both"/>
        <w:rPr>
          <w:rFonts w:asciiTheme="majorHAnsi" w:hAnsiTheme="majorHAnsi" w:cs="Lucida Sans Unicode"/>
          <w:sz w:val="18"/>
          <w:szCs w:val="18"/>
          <w:lang w:val="en-GB"/>
        </w:rPr>
      </w:pPr>
    </w:p>
    <w:p w14:paraId="157EB461" w14:textId="7CEA0A85" w:rsidR="00BC09A1" w:rsidRPr="00122A17" w:rsidRDefault="003F7E44" w:rsidP="00295657">
      <w:pPr>
        <w:tabs>
          <w:tab w:val="left" w:pos="540"/>
        </w:tabs>
        <w:spacing w:line="276" w:lineRule="auto"/>
        <w:jc w:val="both"/>
        <w:rPr>
          <w:rFonts w:asciiTheme="majorHAnsi" w:hAnsiTheme="majorHAnsi" w:cs="Lucida Sans Unicode"/>
          <w:sz w:val="18"/>
          <w:szCs w:val="18"/>
          <w:lang w:val="en-GB"/>
        </w:rPr>
      </w:pPr>
      <w:r w:rsidRPr="00122A17">
        <w:rPr>
          <w:rFonts w:asciiTheme="majorHAnsi" w:hAnsiTheme="majorHAnsi" w:cs="Lucida Sans Unicode"/>
          <w:sz w:val="18"/>
          <w:szCs w:val="18"/>
          <w:lang w:val="en-GB"/>
        </w:rPr>
        <w:t>It is the Board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of Directors'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>opinion</w:t>
      </w:r>
      <w:r w:rsidR="00BC09A1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- on the grounds stated below - that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>the proposed authoriz</w:t>
      </w:r>
      <w:r w:rsidR="00BC09A1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ation for the Board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>of Directors to resolve</w:t>
      </w:r>
      <w:r w:rsidR="00BC09A1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on the repurcha</w:t>
      </w:r>
      <w:r w:rsidR="00B2033C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se of </w:t>
      </w:r>
      <w:r w:rsidR="000D775B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the Company’s </w:t>
      </w:r>
      <w:r w:rsidR="00B2033C" w:rsidRPr="00122A17">
        <w:rPr>
          <w:rFonts w:asciiTheme="majorHAnsi" w:hAnsiTheme="majorHAnsi" w:cs="Lucida Sans Unicode"/>
          <w:sz w:val="18"/>
          <w:szCs w:val="18"/>
          <w:lang w:val="en-GB"/>
        </w:rPr>
        <w:t>own shares are justified</w:t>
      </w:r>
      <w:r w:rsidR="00BC09A1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with regard to</w:t>
      </w:r>
      <w:r w:rsidR="00C112E7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what is </w:t>
      </w:r>
      <w:r w:rsidR="00BC09A1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specified in Chapter 17, Section 3, second and third </w:t>
      </w:r>
      <w:r w:rsidR="00C84013" w:rsidRPr="00122A17">
        <w:rPr>
          <w:rFonts w:asciiTheme="majorHAnsi" w:hAnsiTheme="majorHAnsi" w:cs="Lucida Sans Unicode"/>
          <w:sz w:val="18"/>
          <w:szCs w:val="18"/>
          <w:lang w:val="en-GB"/>
        </w:rPr>
        <w:t>sub</w:t>
      </w:r>
      <w:r w:rsidR="00BC09A1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paragraphs of the </w:t>
      </w:r>
      <w:r w:rsidR="00C84013"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Swedish </w:t>
      </w:r>
      <w:r w:rsidR="00BC09A1" w:rsidRPr="00122A17">
        <w:rPr>
          <w:rFonts w:asciiTheme="majorHAnsi" w:hAnsiTheme="majorHAnsi" w:cs="Lucida Sans Unicode"/>
          <w:sz w:val="18"/>
          <w:szCs w:val="18"/>
          <w:lang w:val="en-GB"/>
        </w:rPr>
        <w:t>Companies Act.</w:t>
      </w:r>
    </w:p>
    <w:p w14:paraId="38DAA19D" w14:textId="77777777" w:rsidR="00BC09A1" w:rsidRPr="00122A17" w:rsidRDefault="00BC09A1" w:rsidP="00C055F0">
      <w:pPr>
        <w:spacing w:line="276" w:lineRule="auto"/>
        <w:rPr>
          <w:rFonts w:asciiTheme="majorHAnsi" w:hAnsiTheme="majorHAnsi" w:cs="Lucida Sans Unicode"/>
          <w:sz w:val="18"/>
          <w:szCs w:val="18"/>
          <w:lang w:val="en-GB"/>
        </w:rPr>
      </w:pPr>
    </w:p>
    <w:p w14:paraId="3676DC9A" w14:textId="77777777" w:rsidR="00BC09A1" w:rsidRPr="000F0512" w:rsidRDefault="00BC09A1" w:rsidP="00122A17">
      <w:pPr>
        <w:pStyle w:val="Default"/>
        <w:rPr>
          <w:rFonts w:asciiTheme="majorHAnsi" w:hAnsiTheme="majorHAnsi" w:cs="Lucida Sans Unicode"/>
          <w:b/>
          <w:sz w:val="18"/>
          <w:szCs w:val="18"/>
          <w:lang w:val="en-GB"/>
        </w:rPr>
      </w:pPr>
      <w:r w:rsidRPr="000F0512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Statement </w:t>
      </w:r>
    </w:p>
    <w:p w14:paraId="6B653D87" w14:textId="369ADD0F" w:rsidR="000D7F86" w:rsidRPr="00122A17" w:rsidRDefault="00D3556F" w:rsidP="00C055F0">
      <w:pPr>
        <w:spacing w:line="276" w:lineRule="auto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The proposed authoriz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ation for repurchase of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Company’s 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own shares amounts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to 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- if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authorization is used to the </w:t>
      </w:r>
      <w:r w:rsidR="007F20E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maximum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- </w:t>
      </w:r>
      <w:r w:rsidR="0029565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NOK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29565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15,000,000, i.e. 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approximately</w:t>
      </w:r>
      <w:r w:rsidR="0029565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SEK 14,693,100 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 </w:t>
      </w:r>
      <w:r w:rsidR="000F0512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an </w:t>
      </w:r>
      <w:r w:rsidR="0029565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exchange rate of SEK 0.98 per NOK 1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.</w:t>
      </w:r>
    </w:p>
    <w:p w14:paraId="25F64560" w14:textId="77777777" w:rsidR="000D7F86" w:rsidRPr="00122A17" w:rsidRDefault="000D7F86" w:rsidP="00C055F0">
      <w:pPr>
        <w:spacing w:line="276" w:lineRule="auto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73D04BEA" w14:textId="0832F76E" w:rsidR="000D7F86" w:rsidRPr="00122A17" w:rsidRDefault="00D3556F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he proposed </w:t>
      </w:r>
      <w:r w:rsidR="00CD77B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repurchase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authoriz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ation </w:t>
      </w:r>
      <w:r w:rsidR="00A35E4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constitutes 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-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if the authorization is used to the maximum 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- approximately </w:t>
      </w:r>
      <w:r w:rsidR="00D67969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27,9</w:t>
      </w:r>
      <w:r w:rsidR="005B498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percent of accounted non-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restricted equity in the </w:t>
      </w:r>
      <w:r w:rsidR="00A35E4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C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ompany, which amounts to SEK </w:t>
      </w:r>
      <w:r w:rsidR="00D67969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52</w:t>
      </w:r>
      <w:r w:rsidR="00D46F04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,</w:t>
      </w:r>
      <w:r w:rsidR="00BF212B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674</w:t>
      </w:r>
      <w:r w:rsidR="00D46F04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,</w:t>
      </w:r>
      <w:r w:rsidR="00BF212B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000</w:t>
      </w:r>
      <w:r w:rsidR="00F26C1F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according to the latest adopted balance sheet</w:t>
      </w:r>
      <w:r w:rsidR="000D7F86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.</w:t>
      </w:r>
    </w:p>
    <w:p w14:paraId="18FD3A42" w14:textId="77777777" w:rsidR="00B97DC7" w:rsidRPr="00122A17" w:rsidRDefault="00B97DC7" w:rsidP="00C055F0">
      <w:pPr>
        <w:spacing w:line="276" w:lineRule="auto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45B0BF55" w14:textId="3BC239BB" w:rsidR="00B97DC7" w:rsidRPr="00122A17" w:rsidRDefault="00B97DC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Board </w:t>
      </w:r>
      <w:r w:rsidR="00D3556F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of Directors conclude</w:t>
      </w:r>
      <w:r w:rsidR="00AB33EE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D3556F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that there is full coverage for the C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ompany's restricted equity after the proposed </w:t>
      </w:r>
      <w:r w:rsidR="00D3556F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authoriz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ation for the Board </w:t>
      </w:r>
      <w:r w:rsidR="00D3556F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to </w:t>
      </w:r>
      <w:r w:rsidR="00D3556F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resolve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on the repurchase of </w:t>
      </w:r>
      <w:r w:rsidR="00D3556F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Company’s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own shares.</w:t>
      </w:r>
    </w:p>
    <w:p w14:paraId="28A8F30D" w14:textId="77777777" w:rsidR="00B97DC7" w:rsidRPr="00122A17" w:rsidRDefault="00B97DC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26BC192F" w14:textId="452FDD44" w:rsidR="00B102C9" w:rsidRPr="00122A17" w:rsidRDefault="00791CBE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Furthermore, the Board </w:t>
      </w:r>
      <w:r w:rsidR="00B1525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conclude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that </w:t>
      </w:r>
      <w:r w:rsidR="00B1525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proposed </w:t>
      </w:r>
      <w:r w:rsidR="00B1525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authoriz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ation to ac</w:t>
      </w:r>
      <w:r w:rsidR="00B2033C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quire own shares are justified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with regard to </w:t>
      </w:r>
      <w:r w:rsidR="00B1525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parameters that </w:t>
      </w:r>
      <w:r w:rsidR="002355F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is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specified in Chapter 17, Section 3, second and third </w:t>
      </w:r>
      <w:r w:rsidR="002355F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sub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paragraphs of the Swedish Companies Act (n</w:t>
      </w:r>
      <w:r w:rsidR="002355F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ature,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scope and risks associated with the operations,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consolidation</w:t>
      </w:r>
      <w:r w:rsidR="002355F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requirements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,</w:t>
      </w:r>
      <w:r w:rsidR="002355F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liquidity and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financial position in general</w:t>
      </w:r>
      <w:r w:rsidR="0013526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).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he Board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would like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, in connection therewith,</w:t>
      </w:r>
      <w:r w:rsidR="00B97DC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to emphasize the following.</w:t>
      </w:r>
    </w:p>
    <w:p w14:paraId="5ECB7775" w14:textId="77777777" w:rsidR="00AF56E8" w:rsidRPr="00122A17" w:rsidRDefault="00AF56E8" w:rsidP="00B102C9">
      <w:pPr>
        <w:spacing w:line="276" w:lineRule="auto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71B1FA25" w14:textId="7A65996E" w:rsidR="00B97DC7" w:rsidRPr="002903F8" w:rsidRDefault="008078A4" w:rsidP="00122A17">
      <w:pPr>
        <w:pStyle w:val="Default"/>
        <w:rPr>
          <w:rFonts w:asciiTheme="majorHAnsi" w:hAnsiTheme="majorHAnsi" w:cs="Lucida Sans Unicode"/>
          <w:b/>
          <w:sz w:val="18"/>
          <w:szCs w:val="18"/>
          <w:lang w:val="en-GB"/>
        </w:rPr>
      </w:pPr>
      <w:r w:rsidRPr="002903F8">
        <w:rPr>
          <w:rFonts w:asciiTheme="majorHAnsi" w:hAnsiTheme="majorHAnsi" w:cs="Lucida Sans Unicode"/>
          <w:b/>
          <w:sz w:val="18"/>
          <w:szCs w:val="18"/>
          <w:lang w:val="en-GB"/>
        </w:rPr>
        <w:t>Nature, scope</w:t>
      </w:r>
      <w:r w:rsidR="00B97DC7" w:rsidRPr="002903F8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 and risks </w:t>
      </w:r>
      <w:r w:rsidRPr="002903F8">
        <w:rPr>
          <w:rFonts w:asciiTheme="majorHAnsi" w:hAnsiTheme="majorHAnsi" w:cs="Lucida Sans Unicode"/>
          <w:b/>
          <w:sz w:val="18"/>
          <w:szCs w:val="18"/>
          <w:lang w:val="en-GB"/>
        </w:rPr>
        <w:t>associated with the operations</w:t>
      </w:r>
    </w:p>
    <w:p w14:paraId="53D65613" w14:textId="68002A45" w:rsidR="00027D78" w:rsidRPr="00122A17" w:rsidRDefault="00027D78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nature and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scope </w:t>
      </w:r>
      <w:r w:rsidR="00B102C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of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the </w:t>
      </w:r>
      <w:r w:rsidR="009E20BE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business </w:t>
      </w:r>
      <w:r w:rsidR="00B102C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stated in the Articles of Assoc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iation and in annual report</w:t>
      </w:r>
      <w:r w:rsidR="00B102C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submitted. T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he </w:t>
      </w:r>
      <w:r w:rsidR="00C5380E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business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conducted in the Company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do not entail risks in addition to what occurs or can be assumed to occur</w:t>
      </w:r>
      <w:r w:rsidR="00C5380E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in the industry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or the risks that are generally associated with conducting business </w:t>
      </w:r>
      <w:r w:rsidR="00C5380E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activities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. Significant events for the business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are stated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in annual report</w:t>
      </w:r>
      <w:r w:rsidR="00B102C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submitted.</w:t>
      </w:r>
      <w:r w:rsidR="00697D2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In addition, no significant event has occurr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ed that negatively affects the C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ompany's ability to make </w:t>
      </w:r>
      <w:r w:rsidR="000A216B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distributions to the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shareholders</w:t>
      </w:r>
      <w:r w:rsidR="008078A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of the C</w:t>
      </w:r>
      <w:r w:rsidR="000A216B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ompany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.</w:t>
      </w:r>
    </w:p>
    <w:p w14:paraId="60B101D3" w14:textId="77777777" w:rsidR="00697D28" w:rsidRPr="00122A17" w:rsidRDefault="00697D28" w:rsidP="00122A17">
      <w:pPr>
        <w:pStyle w:val="Default"/>
        <w:rPr>
          <w:rFonts w:asciiTheme="majorHAnsi" w:hAnsiTheme="majorHAnsi" w:cs="Lucida Sans Unicode"/>
          <w:sz w:val="18"/>
          <w:szCs w:val="18"/>
          <w:lang w:val="en-GB"/>
        </w:rPr>
      </w:pPr>
    </w:p>
    <w:p w14:paraId="6CF6271F" w14:textId="10EC3462" w:rsidR="00A70B47" w:rsidRPr="002903F8" w:rsidRDefault="00503370" w:rsidP="00122A17">
      <w:pPr>
        <w:pStyle w:val="Default"/>
        <w:rPr>
          <w:rFonts w:asciiTheme="majorHAnsi" w:hAnsiTheme="majorHAnsi" w:cs="Lucida Sans Unicode"/>
          <w:b/>
          <w:sz w:val="18"/>
          <w:szCs w:val="18"/>
          <w:lang w:val="en-GB"/>
        </w:rPr>
      </w:pPr>
      <w:r w:rsidRPr="002903F8">
        <w:rPr>
          <w:rFonts w:asciiTheme="majorHAnsi" w:hAnsiTheme="majorHAnsi" w:cs="Lucida Sans Unicode"/>
          <w:b/>
          <w:sz w:val="18"/>
          <w:szCs w:val="18"/>
          <w:lang w:val="en-GB"/>
        </w:rPr>
        <w:t>The Company’s c</w:t>
      </w:r>
      <w:r w:rsidR="00697D28" w:rsidRPr="002903F8">
        <w:rPr>
          <w:rFonts w:asciiTheme="majorHAnsi" w:hAnsiTheme="majorHAnsi" w:cs="Lucida Sans Unicode"/>
          <w:b/>
          <w:sz w:val="18"/>
          <w:szCs w:val="18"/>
          <w:lang w:val="en-GB"/>
        </w:rPr>
        <w:t xml:space="preserve">onsolidation requirements, liquidity and </w:t>
      </w:r>
      <w:r w:rsidRPr="002903F8">
        <w:rPr>
          <w:rFonts w:asciiTheme="majorHAnsi" w:hAnsiTheme="majorHAnsi" w:cs="Lucida Sans Unicode"/>
          <w:b/>
          <w:sz w:val="18"/>
          <w:szCs w:val="18"/>
          <w:lang w:val="en-GB"/>
        </w:rPr>
        <w:t>financial position in general</w:t>
      </w:r>
    </w:p>
    <w:p w14:paraId="3A47CD8B" w14:textId="11D18C7E" w:rsidR="00A70B47" w:rsidRPr="00122A17" w:rsidRDefault="000270A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The C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ompany's financial position as of </w:t>
      </w:r>
      <w:r w:rsidR="00122A1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31 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December 202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3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is st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ated in the most recently submitted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a</w:t>
      </w:r>
      <w:r w:rsidR="00F0754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nnual report. F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rom the annual </w:t>
      </w:r>
      <w:r w:rsidR="00C041BE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report,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F07549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it is clear as to 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which principles are applied for the valuation of assets, provisions and liabilities.</w:t>
      </w:r>
    </w:p>
    <w:p w14:paraId="6FA5277B" w14:textId="77777777" w:rsidR="00A70B47" w:rsidRPr="00122A17" w:rsidRDefault="00A70B4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2DE89FA8" w14:textId="34F9CCA5" w:rsidR="00A70B47" w:rsidRPr="00122A17" w:rsidRDefault="00A70B4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Board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of Directors conclude that the Company's and the g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roup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’s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equity after the proposed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a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uthoriz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ation for the Board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to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resolve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on the repurchase of own shares will be sufficiently large</w:t>
      </w:r>
      <w:r w:rsidR="004B360B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in relation to the nature,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scope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and risks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associated with the operations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. In this context, the Board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cons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iders, among other things, the Company's and the g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roup's historical development, budgeted development, investment plans and the general economic situation.</w:t>
      </w:r>
    </w:p>
    <w:p w14:paraId="5041C12E" w14:textId="77777777" w:rsidR="00A70B47" w:rsidRPr="00122A17" w:rsidRDefault="00A70B4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059CD0B0" w14:textId="179607DE" w:rsidR="00A70B47" w:rsidRPr="00122A17" w:rsidRDefault="000270A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The g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ro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up's and the C</w:t>
      </w:r>
      <w:r w:rsidR="00AA33B2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ompany's solvency 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as of the balance sheet date 202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3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-12-31</w:t>
      </w:r>
      <w:r w:rsidR="00AA33B2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,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amounted to </w:t>
      </w:r>
      <w:r w:rsidR="008F18D3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75,4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percent and </w:t>
      </w:r>
      <w:r w:rsidR="00151D10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77,9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per</w:t>
      </w:r>
      <w:r w:rsidR="00A51DE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cent, respectively. The </w:t>
      </w:r>
      <w:proofErr w:type="gramStart"/>
      <w:r w:rsidR="00580AA5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group’s</w:t>
      </w:r>
      <w:proofErr w:type="gramEnd"/>
      <w:r w:rsidR="00580AA5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and the Company’s </w:t>
      </w:r>
      <w:r w:rsidR="004A3E9E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accounted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equity</w:t>
      </w:r>
      <w:r w:rsidR="00BD61D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as per the </w:t>
      </w:r>
      <w:r w:rsidR="00C25D3B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balance</w:t>
      </w:r>
      <w:r w:rsidR="00BD61D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sheet date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580AA5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2023-12-31</w:t>
      </w:r>
      <w:r w:rsidR="00580AA5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amount</w:t>
      </w:r>
      <w:r w:rsidR="00BD61D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ed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to SEK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747B14" w:rsidRPr="001C5C3E">
        <w:rPr>
          <w:rFonts w:ascii="Cambria" w:hAnsi="Cambria" w:cs="Lucida Sans Unicode"/>
          <w:sz w:val="18"/>
          <w:szCs w:val="18"/>
          <w:lang w:val="en-US"/>
        </w:rPr>
        <w:t>77</w:t>
      </w:r>
      <w:r w:rsidR="001C5C3E" w:rsidRPr="001C5C3E">
        <w:rPr>
          <w:rFonts w:ascii="Cambria" w:hAnsi="Cambria" w:cs="Lucida Sans Unicode"/>
          <w:sz w:val="18"/>
          <w:szCs w:val="18"/>
          <w:lang w:val="en-US"/>
        </w:rPr>
        <w:t>,</w:t>
      </w:r>
      <w:r w:rsidR="00747B14" w:rsidRPr="001C5C3E">
        <w:rPr>
          <w:rFonts w:ascii="Cambria" w:hAnsi="Cambria" w:cs="Lucida Sans Unicode"/>
          <w:sz w:val="18"/>
          <w:szCs w:val="18"/>
          <w:lang w:val="en-US"/>
        </w:rPr>
        <w:t>825</w:t>
      </w:r>
      <w:r w:rsidR="001C5C3E" w:rsidRPr="001C5C3E">
        <w:rPr>
          <w:rFonts w:ascii="Cambria" w:hAnsi="Cambria" w:cs="Lucida Sans Unicode"/>
          <w:sz w:val="18"/>
          <w:szCs w:val="18"/>
          <w:lang w:val="en-US"/>
        </w:rPr>
        <w:t>,</w:t>
      </w:r>
      <w:r w:rsidR="00747B14" w:rsidRPr="001C5C3E">
        <w:rPr>
          <w:rFonts w:ascii="Cambria" w:hAnsi="Cambria" w:cs="Lucida Sans Unicode"/>
          <w:sz w:val="18"/>
          <w:szCs w:val="18"/>
          <w:lang w:val="en-US"/>
        </w:rPr>
        <w:t>000</w:t>
      </w:r>
      <w:r w:rsidR="00A70B47" w:rsidRPr="001C5C3E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and SEK</w:t>
      </w:r>
      <w:r w:rsidR="00AF56E8" w:rsidRPr="001C5C3E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1C5C3E" w:rsidRPr="001C5C3E">
        <w:rPr>
          <w:rFonts w:ascii="Cambria" w:hAnsi="Cambria" w:cs="Lucida Sans Unicode"/>
          <w:sz w:val="18"/>
          <w:szCs w:val="18"/>
          <w:lang w:val="en-US"/>
        </w:rPr>
        <w:t>76</w:t>
      </w:r>
      <w:r w:rsidR="001C5C3E" w:rsidRPr="001C5C3E">
        <w:rPr>
          <w:rFonts w:ascii="Cambria" w:hAnsi="Cambria" w:cs="Lucida Sans Unicode"/>
          <w:sz w:val="18"/>
          <w:szCs w:val="18"/>
          <w:lang w:val="en-US"/>
        </w:rPr>
        <w:t>,</w:t>
      </w:r>
      <w:r w:rsidR="001C5C3E" w:rsidRPr="001C5C3E">
        <w:rPr>
          <w:rFonts w:ascii="Cambria" w:hAnsi="Cambria" w:cs="Lucida Sans Unicode"/>
          <w:sz w:val="18"/>
          <w:szCs w:val="18"/>
          <w:lang w:val="en-US"/>
        </w:rPr>
        <w:t>331</w:t>
      </w:r>
      <w:r w:rsidR="001C5C3E" w:rsidRPr="001C5C3E">
        <w:rPr>
          <w:rFonts w:ascii="Cambria" w:hAnsi="Cambria" w:cs="Lucida Sans Unicode"/>
          <w:sz w:val="18"/>
          <w:szCs w:val="18"/>
          <w:lang w:val="en-US"/>
        </w:rPr>
        <w:t>,</w:t>
      </w:r>
      <w:r w:rsidR="001C5C3E" w:rsidRPr="001C5C3E">
        <w:rPr>
          <w:rFonts w:ascii="Cambria" w:hAnsi="Cambria" w:cs="Lucida Sans Unicode"/>
          <w:sz w:val="18"/>
          <w:szCs w:val="18"/>
          <w:lang w:val="en-US"/>
        </w:rPr>
        <w:t>000</w:t>
      </w:r>
      <w:r w:rsidR="00BD61D4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,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respec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tively. </w:t>
      </w:r>
      <w:r w:rsidR="00BA48BD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For further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details, </w:t>
      </w:r>
      <w:r w:rsidR="00BA48BD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see</w:t>
      </w:r>
      <w:r w:rsidR="003D628B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the submitted annual report</w:t>
      </w:r>
      <w:r w:rsidR="003D628B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202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3</w:t>
      </w:r>
      <w:r w:rsidR="00A70B4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.</w:t>
      </w:r>
    </w:p>
    <w:p w14:paraId="6BFEB4A5" w14:textId="77777777" w:rsidR="00A70B47" w:rsidRPr="00122A17" w:rsidRDefault="00A70B4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25650D70" w14:textId="6A30A634" w:rsidR="00A70B47" w:rsidRPr="00122A17" w:rsidRDefault="00A70B4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The Board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has undertaken a comprehensive assessment of the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Company's and the g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roup's financial position and its ability to meet its obligations in the long term. The proposed</w:t>
      </w:r>
      <w:r w:rsidR="00AF56E8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authoriz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ation for the Board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to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resolve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on the repurchase of own shares w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ill not affect the C</w:t>
      </w:r>
      <w:r w:rsidR="00B2033C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ompany's or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the g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roup's ability to meet its payment obligations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in a timely manner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.</w:t>
      </w:r>
    </w:p>
    <w:p w14:paraId="30C13FF4" w14:textId="77777777" w:rsidR="00A70B47" w:rsidRPr="00122A17" w:rsidRDefault="00A70B47" w:rsidP="00C055F0">
      <w:pPr>
        <w:spacing w:line="276" w:lineRule="auto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</w:p>
    <w:p w14:paraId="00BF4B50" w14:textId="5DB8F840" w:rsidR="00A70B47" w:rsidRPr="00122A17" w:rsidRDefault="00A70B47" w:rsidP="00AF56E8">
      <w:pPr>
        <w:spacing w:line="276" w:lineRule="auto"/>
        <w:jc w:val="both"/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</w:pP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It is also noted tha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t - before the proposed authoriz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ation is used by the Board 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of Directors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- it is the Board</w:t>
      </w:r>
      <w:r w:rsidR="000270A7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of Directors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' responsibility t</w:t>
      </w:r>
      <w:r w:rsidR="003C1B1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o prepare a new reasoned statement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in accordance with Chapter 19, Section 29 of the Swedish Companies Act regarding whether the then current repurch</w:t>
      </w:r>
      <w:r w:rsidR="00B2033C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ase of own shares is justified</w:t>
      </w:r>
      <w:r w:rsidR="003C1B1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with regard to what is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3C1B1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stated </w:t>
      </w:r>
      <w:r w:rsidR="003C1B1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lastRenderedPageBreak/>
        <w:t>in Chapter 17,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</w:t>
      </w:r>
      <w:r w:rsidR="000E0AA0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Section 3, 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second and third </w:t>
      </w:r>
      <w:r w:rsidR="003C1B1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sub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paragraphs of the Swedish Companies Act base</w:t>
      </w:r>
      <w:r w:rsidR="003C1B1A"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>d on the conditions prevailing</w:t>
      </w:r>
      <w:r w:rsidRPr="00122A17">
        <w:rPr>
          <w:rFonts w:asciiTheme="majorHAnsi" w:eastAsiaTheme="minorHAnsi" w:hAnsiTheme="majorHAnsi" w:cs="Lucida Sans Unicode"/>
          <w:sz w:val="18"/>
          <w:szCs w:val="18"/>
          <w:lang w:val="en-GB" w:eastAsia="en-US"/>
        </w:rPr>
        <w:t xml:space="preserve"> the time.</w:t>
      </w:r>
    </w:p>
    <w:p w14:paraId="6007329E" w14:textId="77777777" w:rsidR="00A70B47" w:rsidRPr="00122A17" w:rsidRDefault="00A70B47" w:rsidP="00A70B47">
      <w:pPr>
        <w:rPr>
          <w:rFonts w:asciiTheme="majorHAnsi" w:hAnsiTheme="majorHAnsi" w:cs="Lucida Sans Unicode"/>
          <w:sz w:val="18"/>
          <w:szCs w:val="18"/>
          <w:lang w:val="en-GB"/>
        </w:rPr>
      </w:pPr>
    </w:p>
    <w:p w14:paraId="798A4277" w14:textId="77777777" w:rsidR="00BD7A2D" w:rsidRPr="00295657" w:rsidRDefault="00BD7A2D" w:rsidP="00BD7A2D">
      <w:pPr>
        <w:jc w:val="center"/>
        <w:rPr>
          <w:rFonts w:ascii="Lucida Sans Unicode" w:hAnsi="Lucida Sans Unicode" w:cs="Lucida Sans Unicode"/>
          <w:szCs w:val="20"/>
          <w:lang w:val="en-GB"/>
        </w:rPr>
      </w:pPr>
      <w:r w:rsidRPr="00295657">
        <w:rPr>
          <w:rFonts w:ascii="Lucida Sans Unicode" w:hAnsi="Lucida Sans Unicode" w:cs="Lucida Sans Unicode"/>
          <w:szCs w:val="20"/>
          <w:lang w:val="en-GB"/>
        </w:rPr>
        <w:t>_____________________________</w:t>
      </w:r>
    </w:p>
    <w:p w14:paraId="43B8AF37" w14:textId="4FB22178" w:rsidR="00BD7A2D" w:rsidRPr="00122A17" w:rsidRDefault="00BD7A2D" w:rsidP="00BD7A2D">
      <w:pPr>
        <w:jc w:val="center"/>
        <w:rPr>
          <w:rFonts w:asciiTheme="majorHAnsi" w:hAnsiTheme="majorHAnsi" w:cs="Lucida Sans Unicode"/>
          <w:sz w:val="18"/>
          <w:szCs w:val="18"/>
          <w:lang w:val="en-GB"/>
        </w:rPr>
      </w:pP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Stockholm, </w:t>
      </w:r>
      <w:r w:rsidR="00580AA5">
        <w:rPr>
          <w:rFonts w:asciiTheme="majorHAnsi" w:hAnsiTheme="majorHAnsi" w:cs="Lucida Sans Unicode"/>
          <w:sz w:val="18"/>
          <w:szCs w:val="18"/>
          <w:lang w:val="en-GB"/>
        </w:rPr>
        <w:t>October</w:t>
      </w:r>
      <w:r w:rsidRPr="00122A17">
        <w:rPr>
          <w:rFonts w:asciiTheme="majorHAnsi" w:hAnsiTheme="majorHAnsi" w:cs="Lucida Sans Unicode"/>
          <w:sz w:val="18"/>
          <w:szCs w:val="18"/>
          <w:lang w:val="en-GB"/>
        </w:rPr>
        <w:t xml:space="preserve"> 202</w:t>
      </w:r>
      <w:r w:rsidR="00122A17" w:rsidRPr="00122A17">
        <w:rPr>
          <w:rFonts w:asciiTheme="majorHAnsi" w:hAnsiTheme="majorHAnsi" w:cs="Lucida Sans Unicode"/>
          <w:sz w:val="18"/>
          <w:szCs w:val="18"/>
          <w:lang w:val="en-GB"/>
        </w:rPr>
        <w:t>4</w:t>
      </w:r>
    </w:p>
    <w:p w14:paraId="32C6E625" w14:textId="77777777" w:rsidR="00AF56E8" w:rsidRPr="00122A17" w:rsidRDefault="00AF56E8" w:rsidP="00122A17">
      <w:pPr>
        <w:pStyle w:val="Default"/>
        <w:jc w:val="center"/>
        <w:rPr>
          <w:rFonts w:asciiTheme="majorHAnsi" w:hAnsiTheme="majorHAnsi" w:cs="Lucida Sans Unicode"/>
          <w:b/>
          <w:sz w:val="20"/>
          <w:szCs w:val="20"/>
          <w:lang w:val="en-GB"/>
        </w:rPr>
      </w:pPr>
      <w:r w:rsidRPr="00122A17">
        <w:rPr>
          <w:rFonts w:asciiTheme="majorHAnsi" w:hAnsiTheme="majorHAnsi" w:cs="Lucida Sans Unicode"/>
          <w:b/>
          <w:sz w:val="20"/>
          <w:szCs w:val="20"/>
          <w:lang w:val="en-GB"/>
        </w:rPr>
        <w:t>ContextVision AB (publ)</w:t>
      </w:r>
    </w:p>
    <w:p w14:paraId="586A5DEC" w14:textId="11E16B58" w:rsidR="00A70B47" w:rsidRPr="00122A17" w:rsidRDefault="00BD7A2D" w:rsidP="00122A17">
      <w:pPr>
        <w:jc w:val="center"/>
        <w:rPr>
          <w:rFonts w:asciiTheme="majorHAnsi" w:hAnsiTheme="majorHAnsi" w:cs="Lucida Sans Unicode"/>
          <w:sz w:val="18"/>
          <w:szCs w:val="18"/>
          <w:lang w:val="en-GB"/>
        </w:rPr>
      </w:pPr>
      <w:r w:rsidRPr="00122A17">
        <w:rPr>
          <w:rFonts w:asciiTheme="majorHAnsi" w:hAnsiTheme="majorHAnsi" w:cs="Lucida Sans Unicode"/>
          <w:i/>
          <w:sz w:val="18"/>
          <w:szCs w:val="18"/>
          <w:lang w:val="en-GB"/>
        </w:rPr>
        <w:t>The Board</w:t>
      </w:r>
    </w:p>
    <w:sectPr w:rsidR="00A70B47" w:rsidRPr="00122A17" w:rsidSect="00122A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2137" w14:textId="77777777" w:rsidR="00664588" w:rsidRDefault="00664588" w:rsidP="00565B39">
      <w:pPr>
        <w:spacing w:line="240" w:lineRule="auto"/>
      </w:pPr>
      <w:r>
        <w:separator/>
      </w:r>
    </w:p>
  </w:endnote>
  <w:endnote w:type="continuationSeparator" w:id="0">
    <w:p w14:paraId="748E8091" w14:textId="77777777" w:rsidR="00664588" w:rsidRDefault="00664588" w:rsidP="00565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499A" w14:textId="77777777" w:rsidR="00F50D05" w:rsidRDefault="00F50D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D7FF" w14:textId="77777777" w:rsidR="00F50D05" w:rsidRDefault="00F50D0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F370" w14:textId="77777777" w:rsidR="00F50D05" w:rsidRDefault="00F50D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8843" w14:textId="77777777" w:rsidR="00664588" w:rsidRDefault="00664588" w:rsidP="00565B39">
      <w:pPr>
        <w:spacing w:line="240" w:lineRule="auto"/>
      </w:pPr>
      <w:r>
        <w:separator/>
      </w:r>
    </w:p>
  </w:footnote>
  <w:footnote w:type="continuationSeparator" w:id="0">
    <w:p w14:paraId="5A2BECD2" w14:textId="77777777" w:rsidR="00664588" w:rsidRDefault="00664588" w:rsidP="00565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BDE3" w14:textId="77777777" w:rsidR="00F50D05" w:rsidRDefault="00F50D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6594" w14:textId="77777777" w:rsidR="00F50D05" w:rsidRDefault="00F50D0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016A" w14:textId="77777777" w:rsidR="00F50D05" w:rsidRDefault="00F50D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D065BA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BB12CC"/>
    <w:multiLevelType w:val="hybridMultilevel"/>
    <w:tmpl w:val="AFD0341A"/>
    <w:lvl w:ilvl="0" w:tplc="C130DB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F237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6DB4BB1"/>
    <w:multiLevelType w:val="multilevel"/>
    <w:tmpl w:val="91CA6D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0E457FC"/>
    <w:multiLevelType w:val="multilevel"/>
    <w:tmpl w:val="18FCEA2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0E92749"/>
    <w:multiLevelType w:val="multilevel"/>
    <w:tmpl w:val="20EC790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94202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4D241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F1E4F46"/>
    <w:multiLevelType w:val="multilevel"/>
    <w:tmpl w:val="192C35C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6DD03F7"/>
    <w:multiLevelType w:val="multilevel"/>
    <w:tmpl w:val="C062285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2" w15:restartNumberingAfterBreak="0">
    <w:nsid w:val="77304370"/>
    <w:multiLevelType w:val="multilevel"/>
    <w:tmpl w:val="F53A511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3" w15:restartNumberingAfterBreak="0">
    <w:nsid w:val="7B98402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E5F5E2D"/>
    <w:multiLevelType w:val="multilevel"/>
    <w:tmpl w:val="5CC8DC5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10980">
    <w:abstractNumId w:val="5"/>
  </w:num>
  <w:num w:numId="2" w16cid:durableId="1316568183">
    <w:abstractNumId w:val="5"/>
  </w:num>
  <w:num w:numId="3" w16cid:durableId="370692321">
    <w:abstractNumId w:val="5"/>
  </w:num>
  <w:num w:numId="4" w16cid:durableId="1472988892">
    <w:abstractNumId w:val="5"/>
  </w:num>
  <w:num w:numId="5" w16cid:durableId="464851907">
    <w:abstractNumId w:val="5"/>
  </w:num>
  <w:num w:numId="6" w16cid:durableId="1057316641">
    <w:abstractNumId w:val="5"/>
  </w:num>
  <w:num w:numId="7" w16cid:durableId="1193958072">
    <w:abstractNumId w:val="5"/>
  </w:num>
  <w:num w:numId="8" w16cid:durableId="6641737">
    <w:abstractNumId w:val="5"/>
  </w:num>
  <w:num w:numId="9" w16cid:durableId="1764958853">
    <w:abstractNumId w:val="5"/>
  </w:num>
  <w:num w:numId="10" w16cid:durableId="577979380">
    <w:abstractNumId w:val="5"/>
  </w:num>
  <w:num w:numId="11" w16cid:durableId="917204278">
    <w:abstractNumId w:val="5"/>
  </w:num>
  <w:num w:numId="12" w16cid:durableId="640309842">
    <w:abstractNumId w:val="5"/>
  </w:num>
  <w:num w:numId="13" w16cid:durableId="2117287295">
    <w:abstractNumId w:val="5"/>
  </w:num>
  <w:num w:numId="14" w16cid:durableId="925921279">
    <w:abstractNumId w:val="3"/>
  </w:num>
  <w:num w:numId="15" w16cid:durableId="837883427">
    <w:abstractNumId w:val="3"/>
  </w:num>
  <w:num w:numId="16" w16cid:durableId="1010832747">
    <w:abstractNumId w:val="5"/>
  </w:num>
  <w:num w:numId="17" w16cid:durableId="1729760928">
    <w:abstractNumId w:val="5"/>
  </w:num>
  <w:num w:numId="18" w16cid:durableId="247158240">
    <w:abstractNumId w:val="5"/>
  </w:num>
  <w:num w:numId="19" w16cid:durableId="1024210014">
    <w:abstractNumId w:val="5"/>
  </w:num>
  <w:num w:numId="20" w16cid:durableId="330261622">
    <w:abstractNumId w:val="5"/>
  </w:num>
  <w:num w:numId="21" w16cid:durableId="1987473393">
    <w:abstractNumId w:val="5"/>
  </w:num>
  <w:num w:numId="22" w16cid:durableId="399137858">
    <w:abstractNumId w:val="5"/>
  </w:num>
  <w:num w:numId="23" w16cid:durableId="954948274">
    <w:abstractNumId w:val="5"/>
  </w:num>
  <w:num w:numId="24" w16cid:durableId="289479733">
    <w:abstractNumId w:val="5"/>
  </w:num>
  <w:num w:numId="25" w16cid:durableId="333381850">
    <w:abstractNumId w:val="1"/>
  </w:num>
  <w:num w:numId="26" w16cid:durableId="1944534564">
    <w:abstractNumId w:val="1"/>
  </w:num>
  <w:num w:numId="27" w16cid:durableId="1611931545">
    <w:abstractNumId w:val="0"/>
  </w:num>
  <w:num w:numId="28" w16cid:durableId="953515329">
    <w:abstractNumId w:val="0"/>
  </w:num>
  <w:num w:numId="29" w16cid:durableId="1221868009">
    <w:abstractNumId w:val="5"/>
  </w:num>
  <w:num w:numId="30" w16cid:durableId="1189492134">
    <w:abstractNumId w:val="3"/>
  </w:num>
  <w:num w:numId="31" w16cid:durableId="2013532663">
    <w:abstractNumId w:val="5"/>
  </w:num>
  <w:num w:numId="32" w16cid:durableId="2036149874">
    <w:abstractNumId w:val="5"/>
  </w:num>
  <w:num w:numId="33" w16cid:durableId="1547988195">
    <w:abstractNumId w:val="5"/>
  </w:num>
  <w:num w:numId="34" w16cid:durableId="1964267798">
    <w:abstractNumId w:val="11"/>
  </w:num>
  <w:num w:numId="35" w16cid:durableId="1045373403">
    <w:abstractNumId w:val="9"/>
  </w:num>
  <w:num w:numId="36" w16cid:durableId="1284850523">
    <w:abstractNumId w:val="4"/>
  </w:num>
  <w:num w:numId="37" w16cid:durableId="1991446563">
    <w:abstractNumId w:val="7"/>
  </w:num>
  <w:num w:numId="38" w16cid:durableId="1038772970">
    <w:abstractNumId w:val="14"/>
  </w:num>
  <w:num w:numId="39" w16cid:durableId="1701929544">
    <w:abstractNumId w:val="6"/>
  </w:num>
  <w:num w:numId="40" w16cid:durableId="1883596579">
    <w:abstractNumId w:val="10"/>
  </w:num>
  <w:num w:numId="41" w16cid:durableId="80955721">
    <w:abstractNumId w:val="13"/>
  </w:num>
  <w:num w:numId="42" w16cid:durableId="1854344343">
    <w:abstractNumId w:val="2"/>
  </w:num>
  <w:num w:numId="43" w16cid:durableId="1150289999">
    <w:abstractNumId w:val="8"/>
  </w:num>
  <w:num w:numId="44" w16cid:durableId="1910113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0943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E9"/>
    <w:rsid w:val="0001135E"/>
    <w:rsid w:val="000270A7"/>
    <w:rsid w:val="00027D78"/>
    <w:rsid w:val="00030415"/>
    <w:rsid w:val="0004672E"/>
    <w:rsid w:val="000656D4"/>
    <w:rsid w:val="00082E77"/>
    <w:rsid w:val="000A216B"/>
    <w:rsid w:val="000C5753"/>
    <w:rsid w:val="000D46DC"/>
    <w:rsid w:val="000D775B"/>
    <w:rsid w:val="000D7F86"/>
    <w:rsid w:val="000E0AA0"/>
    <w:rsid w:val="000E14E8"/>
    <w:rsid w:val="000F0512"/>
    <w:rsid w:val="000F31B0"/>
    <w:rsid w:val="00112DDF"/>
    <w:rsid w:val="00122A17"/>
    <w:rsid w:val="00135264"/>
    <w:rsid w:val="00151D10"/>
    <w:rsid w:val="001670CC"/>
    <w:rsid w:val="00176D07"/>
    <w:rsid w:val="00176FEA"/>
    <w:rsid w:val="001813E9"/>
    <w:rsid w:val="001872C6"/>
    <w:rsid w:val="001B1212"/>
    <w:rsid w:val="001C5C3E"/>
    <w:rsid w:val="002351CC"/>
    <w:rsid w:val="002355FA"/>
    <w:rsid w:val="00265048"/>
    <w:rsid w:val="00267C2A"/>
    <w:rsid w:val="0027227E"/>
    <w:rsid w:val="002903F8"/>
    <w:rsid w:val="00295657"/>
    <w:rsid w:val="002E5FFB"/>
    <w:rsid w:val="002F48AD"/>
    <w:rsid w:val="002F5612"/>
    <w:rsid w:val="003019E0"/>
    <w:rsid w:val="00327EC2"/>
    <w:rsid w:val="0033746F"/>
    <w:rsid w:val="003B7D1E"/>
    <w:rsid w:val="003C1B1A"/>
    <w:rsid w:val="003C66AC"/>
    <w:rsid w:val="003D628B"/>
    <w:rsid w:val="003F7E44"/>
    <w:rsid w:val="00433C3C"/>
    <w:rsid w:val="0048301F"/>
    <w:rsid w:val="004A3E9E"/>
    <w:rsid w:val="004B360B"/>
    <w:rsid w:val="004C4461"/>
    <w:rsid w:val="004E59C8"/>
    <w:rsid w:val="00503370"/>
    <w:rsid w:val="00520A8C"/>
    <w:rsid w:val="005374C5"/>
    <w:rsid w:val="00565B39"/>
    <w:rsid w:val="00580AA5"/>
    <w:rsid w:val="00586803"/>
    <w:rsid w:val="00595CE2"/>
    <w:rsid w:val="005B4988"/>
    <w:rsid w:val="005C2902"/>
    <w:rsid w:val="005D0F02"/>
    <w:rsid w:val="0060336C"/>
    <w:rsid w:val="006266CF"/>
    <w:rsid w:val="006450F2"/>
    <w:rsid w:val="00646B77"/>
    <w:rsid w:val="00664588"/>
    <w:rsid w:val="00697D28"/>
    <w:rsid w:val="006C2A80"/>
    <w:rsid w:val="006D5E98"/>
    <w:rsid w:val="00747B14"/>
    <w:rsid w:val="00762D5F"/>
    <w:rsid w:val="00786F94"/>
    <w:rsid w:val="00791CBE"/>
    <w:rsid w:val="007C4AFB"/>
    <w:rsid w:val="007F20EA"/>
    <w:rsid w:val="008078A4"/>
    <w:rsid w:val="008563D2"/>
    <w:rsid w:val="008B3F0D"/>
    <w:rsid w:val="008C4CB3"/>
    <w:rsid w:val="008C7144"/>
    <w:rsid w:val="008D1111"/>
    <w:rsid w:val="008F18D3"/>
    <w:rsid w:val="009121FD"/>
    <w:rsid w:val="00942855"/>
    <w:rsid w:val="009452F1"/>
    <w:rsid w:val="0095407B"/>
    <w:rsid w:val="00954D08"/>
    <w:rsid w:val="00956162"/>
    <w:rsid w:val="0097031C"/>
    <w:rsid w:val="009B02A4"/>
    <w:rsid w:val="009E20BE"/>
    <w:rsid w:val="00A14786"/>
    <w:rsid w:val="00A35E48"/>
    <w:rsid w:val="00A3765B"/>
    <w:rsid w:val="00A379BB"/>
    <w:rsid w:val="00A51DEA"/>
    <w:rsid w:val="00A70AD8"/>
    <w:rsid w:val="00A70B47"/>
    <w:rsid w:val="00A76AB7"/>
    <w:rsid w:val="00A8527E"/>
    <w:rsid w:val="00A921B1"/>
    <w:rsid w:val="00AA33B2"/>
    <w:rsid w:val="00AB33EE"/>
    <w:rsid w:val="00AF542E"/>
    <w:rsid w:val="00AF56E8"/>
    <w:rsid w:val="00B102C9"/>
    <w:rsid w:val="00B15259"/>
    <w:rsid w:val="00B2033C"/>
    <w:rsid w:val="00B5283E"/>
    <w:rsid w:val="00B97DC7"/>
    <w:rsid w:val="00BA48BD"/>
    <w:rsid w:val="00BC09A1"/>
    <w:rsid w:val="00BC0E9F"/>
    <w:rsid w:val="00BC6B70"/>
    <w:rsid w:val="00BD61D4"/>
    <w:rsid w:val="00BD7A2D"/>
    <w:rsid w:val="00BE78AF"/>
    <w:rsid w:val="00BF212B"/>
    <w:rsid w:val="00C02B74"/>
    <w:rsid w:val="00C041BE"/>
    <w:rsid w:val="00C055F0"/>
    <w:rsid w:val="00C112E7"/>
    <w:rsid w:val="00C25D3B"/>
    <w:rsid w:val="00C5380E"/>
    <w:rsid w:val="00C6387D"/>
    <w:rsid w:val="00C84013"/>
    <w:rsid w:val="00CB720B"/>
    <w:rsid w:val="00CC57E5"/>
    <w:rsid w:val="00CD77B6"/>
    <w:rsid w:val="00D22213"/>
    <w:rsid w:val="00D3174B"/>
    <w:rsid w:val="00D328D2"/>
    <w:rsid w:val="00D3556F"/>
    <w:rsid w:val="00D46F04"/>
    <w:rsid w:val="00D67969"/>
    <w:rsid w:val="00D712EA"/>
    <w:rsid w:val="00D722F2"/>
    <w:rsid w:val="00DC4BE1"/>
    <w:rsid w:val="00DD2677"/>
    <w:rsid w:val="00DD5FA2"/>
    <w:rsid w:val="00DE363A"/>
    <w:rsid w:val="00DF0D83"/>
    <w:rsid w:val="00E0376C"/>
    <w:rsid w:val="00E33FB4"/>
    <w:rsid w:val="00E37A69"/>
    <w:rsid w:val="00E706CB"/>
    <w:rsid w:val="00EE0C2B"/>
    <w:rsid w:val="00F07549"/>
    <w:rsid w:val="00F26C1F"/>
    <w:rsid w:val="00F50D05"/>
    <w:rsid w:val="00F65059"/>
    <w:rsid w:val="00F95D51"/>
    <w:rsid w:val="00F97C9D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B40DC"/>
  <w15:chartTrackingRefBased/>
  <w15:docId w15:val="{A03BD993-82D3-454D-AF6D-C37BC2AF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CB3"/>
    <w:pPr>
      <w:spacing w:line="288" w:lineRule="auto"/>
    </w:pPr>
    <w:rPr>
      <w:rFonts w:ascii="Verdana" w:hAnsi="Verdana"/>
      <w:szCs w:val="24"/>
    </w:rPr>
  </w:style>
  <w:style w:type="paragraph" w:styleId="Rubrik1">
    <w:name w:val="heading 1"/>
    <w:next w:val="Normaltindrag"/>
    <w:qFormat/>
    <w:rsid w:val="008C4CB3"/>
    <w:pPr>
      <w:keepNext/>
      <w:numPr>
        <w:numId w:val="34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next w:val="Normaltindrag"/>
    <w:qFormat/>
    <w:rsid w:val="008C4CB3"/>
    <w:pPr>
      <w:keepNext/>
      <w:numPr>
        <w:ilvl w:val="1"/>
        <w:numId w:val="34"/>
      </w:numPr>
      <w:spacing w:before="240" w:after="120" w:line="288" w:lineRule="auto"/>
      <w:outlineLvl w:val="1"/>
    </w:pPr>
    <w:rPr>
      <w:rFonts w:ascii="Verdana" w:hAnsi="Verdana" w:cs="Arial"/>
      <w:b/>
      <w:bCs/>
      <w:iCs/>
      <w:szCs w:val="28"/>
    </w:rPr>
  </w:style>
  <w:style w:type="paragraph" w:styleId="Rubrik3">
    <w:name w:val="heading 3"/>
    <w:next w:val="Normaltindrag"/>
    <w:qFormat/>
    <w:rsid w:val="008C4CB3"/>
    <w:pPr>
      <w:keepNext/>
      <w:numPr>
        <w:ilvl w:val="2"/>
        <w:numId w:val="34"/>
      </w:numPr>
      <w:spacing w:before="240" w:after="120" w:line="288" w:lineRule="auto"/>
      <w:outlineLvl w:val="2"/>
    </w:pPr>
    <w:rPr>
      <w:rFonts w:ascii="Verdana" w:hAnsi="Verdana" w:cs="Arial"/>
      <w:b/>
      <w:bCs/>
      <w:i/>
      <w:szCs w:val="26"/>
    </w:rPr>
  </w:style>
  <w:style w:type="paragraph" w:styleId="Rubrik4">
    <w:name w:val="heading 4"/>
    <w:next w:val="Normaltindrag"/>
    <w:qFormat/>
    <w:rsid w:val="008C4CB3"/>
    <w:pPr>
      <w:keepNext/>
      <w:numPr>
        <w:ilvl w:val="3"/>
        <w:numId w:val="34"/>
      </w:numPr>
      <w:spacing w:before="240" w:after="120" w:line="288" w:lineRule="auto"/>
      <w:outlineLvl w:val="3"/>
    </w:pPr>
    <w:rPr>
      <w:rFonts w:ascii="Verdana" w:hAnsi="Verdana"/>
      <w:bCs/>
      <w:i/>
      <w:szCs w:val="28"/>
    </w:rPr>
  </w:style>
  <w:style w:type="paragraph" w:styleId="Rubrik5">
    <w:name w:val="heading 5"/>
    <w:next w:val="Normaltindrag"/>
    <w:qFormat/>
    <w:rsid w:val="008C4CB3"/>
    <w:pPr>
      <w:keepNext/>
      <w:numPr>
        <w:ilvl w:val="4"/>
        <w:numId w:val="34"/>
      </w:numPr>
      <w:spacing w:before="240" w:after="120" w:line="288" w:lineRule="auto"/>
      <w:outlineLvl w:val="4"/>
    </w:pPr>
    <w:rPr>
      <w:rFonts w:ascii="Verdana" w:hAnsi="Verdana"/>
      <w:bCs/>
      <w:iCs/>
      <w:szCs w:val="26"/>
    </w:rPr>
  </w:style>
  <w:style w:type="paragraph" w:styleId="Rubrik6">
    <w:name w:val="heading 6"/>
    <w:qFormat/>
    <w:rsid w:val="008C4CB3"/>
    <w:pPr>
      <w:numPr>
        <w:ilvl w:val="5"/>
        <w:numId w:val="34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qFormat/>
    <w:rsid w:val="002F5612"/>
    <w:pPr>
      <w:numPr>
        <w:ilvl w:val="6"/>
        <w:numId w:val="34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rsid w:val="004E59C8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4E59C8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4E59C8"/>
    <w:pPr>
      <w:jc w:val="center"/>
    </w:pPr>
    <w:rPr>
      <w:b/>
      <w:caps/>
      <w:sz w:val="32"/>
      <w:szCs w:val="32"/>
    </w:rPr>
  </w:style>
  <w:style w:type="paragraph" w:customStyle="1" w:styleId="Niv1-utanrubrik">
    <w:name w:val="Nivå 1 - utan rubrik"/>
    <w:basedOn w:val="Rubrik1"/>
    <w:next w:val="Normaltindrag"/>
    <w:qFormat/>
    <w:rsid w:val="002F5612"/>
    <w:pPr>
      <w:keepNext w:val="0"/>
      <w:spacing w:after="0"/>
    </w:pPr>
    <w:rPr>
      <w:b w:val="0"/>
      <w:smallCaps w:val="0"/>
      <w:sz w:val="20"/>
    </w:rPr>
  </w:style>
  <w:style w:type="paragraph" w:styleId="Normaltindrag">
    <w:name w:val="Normal Indent"/>
    <w:qFormat/>
    <w:rsid w:val="008C4CB3"/>
    <w:pPr>
      <w:spacing w:line="288" w:lineRule="auto"/>
      <w:ind w:left="1134"/>
    </w:pPr>
    <w:rPr>
      <w:rFonts w:ascii="Verdana" w:hAnsi="Verdana"/>
      <w:szCs w:val="24"/>
    </w:rPr>
  </w:style>
  <w:style w:type="paragraph" w:customStyle="1" w:styleId="Niv2-utanrubrik">
    <w:name w:val="Nivå 2 - utan rubrik"/>
    <w:basedOn w:val="Rubrik2"/>
    <w:next w:val="Normaltindrag"/>
    <w:qFormat/>
    <w:rsid w:val="004E59C8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4E59C8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4E59C8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4E59C8"/>
    <w:pPr>
      <w:keepNext w:val="0"/>
      <w:spacing w:after="0"/>
    </w:pPr>
  </w:style>
  <w:style w:type="paragraph" w:styleId="Ballongtext">
    <w:name w:val="Balloon Text"/>
    <w:basedOn w:val="Normal"/>
    <w:semiHidden/>
    <w:rsid w:val="004E59C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rsid w:val="004E59C8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4E59C8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4E59C8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4E59C8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4E59C8"/>
    <w:pPr>
      <w:ind w:left="480" w:hanging="480"/>
    </w:pPr>
  </w:style>
  <w:style w:type="character" w:styleId="Fotnotsreferens">
    <w:name w:val="footnote reference"/>
    <w:basedOn w:val="Standardstycketeckensnitt"/>
    <w:semiHidden/>
    <w:rsid w:val="004E59C8"/>
    <w:rPr>
      <w:vertAlign w:val="superscript"/>
    </w:rPr>
  </w:style>
  <w:style w:type="paragraph" w:styleId="Fotnotstext">
    <w:name w:val="footnote text"/>
    <w:basedOn w:val="Normal"/>
    <w:semiHidden/>
    <w:rsid w:val="00A8527E"/>
    <w:rPr>
      <w:sz w:val="16"/>
      <w:szCs w:val="20"/>
    </w:rPr>
  </w:style>
  <w:style w:type="character" w:styleId="Hyperlnk">
    <w:name w:val="Hyperlink"/>
    <w:basedOn w:val="Standardstycketeckensnitt"/>
    <w:rsid w:val="004E59C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E59C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E59C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E59C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E59C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E59C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E59C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E59C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E59C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E59C8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4E59C8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4E59C8"/>
    <w:rPr>
      <w:b/>
      <w:sz w:val="24"/>
      <w:szCs w:val="24"/>
    </w:rPr>
  </w:style>
  <w:style w:type="paragraph" w:styleId="Innehll1">
    <w:name w:val="toc 1"/>
    <w:next w:val="Normal"/>
    <w:autoRedefine/>
    <w:rsid w:val="004E59C8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b/>
      <w:caps/>
    </w:rPr>
  </w:style>
  <w:style w:type="paragraph" w:styleId="Innehll2">
    <w:name w:val="toc 2"/>
    <w:basedOn w:val="Innehll1"/>
    <w:next w:val="Normaltindrag"/>
    <w:autoRedefine/>
    <w:rsid w:val="004E59C8"/>
    <w:rPr>
      <w:caps w:val="0"/>
    </w:rPr>
  </w:style>
  <w:style w:type="paragraph" w:styleId="Innehll3">
    <w:name w:val="toc 3"/>
    <w:basedOn w:val="Innehll2"/>
    <w:next w:val="Normaltindrag"/>
    <w:autoRedefine/>
    <w:rsid w:val="004E59C8"/>
    <w:pPr>
      <w:tabs>
        <w:tab w:val="left" w:pos="1440"/>
      </w:tabs>
    </w:pPr>
  </w:style>
  <w:style w:type="paragraph" w:styleId="Innehll4">
    <w:name w:val="toc 4"/>
    <w:basedOn w:val="Normal"/>
    <w:next w:val="Normal"/>
    <w:autoRedefine/>
    <w:semiHidden/>
    <w:rsid w:val="004E59C8"/>
    <w:pPr>
      <w:ind w:left="720"/>
    </w:pPr>
  </w:style>
  <w:style w:type="paragraph" w:styleId="Innehll5">
    <w:name w:val="toc 5"/>
    <w:basedOn w:val="Normal"/>
    <w:next w:val="Normal"/>
    <w:autoRedefine/>
    <w:semiHidden/>
    <w:rsid w:val="004E59C8"/>
    <w:pPr>
      <w:ind w:left="960"/>
    </w:pPr>
  </w:style>
  <w:style w:type="paragraph" w:styleId="Innehll6">
    <w:name w:val="toc 6"/>
    <w:basedOn w:val="Normal"/>
    <w:next w:val="Normal"/>
    <w:autoRedefine/>
    <w:semiHidden/>
    <w:rsid w:val="004E59C8"/>
    <w:pPr>
      <w:ind w:left="1200"/>
    </w:pPr>
  </w:style>
  <w:style w:type="paragraph" w:styleId="Innehll7">
    <w:name w:val="toc 7"/>
    <w:basedOn w:val="Normal"/>
    <w:next w:val="Normal"/>
    <w:autoRedefine/>
    <w:semiHidden/>
    <w:rsid w:val="004E59C8"/>
    <w:pPr>
      <w:ind w:left="1440"/>
    </w:pPr>
  </w:style>
  <w:style w:type="paragraph" w:styleId="Innehll8">
    <w:name w:val="toc 8"/>
    <w:basedOn w:val="Normal"/>
    <w:next w:val="Normal"/>
    <w:autoRedefine/>
    <w:semiHidden/>
    <w:rsid w:val="004E59C8"/>
    <w:pPr>
      <w:ind w:left="1680"/>
    </w:pPr>
  </w:style>
  <w:style w:type="paragraph" w:styleId="Innehll9">
    <w:name w:val="toc 9"/>
    <w:basedOn w:val="Normal"/>
    <w:next w:val="Normal"/>
    <w:autoRedefine/>
    <w:semiHidden/>
    <w:rsid w:val="004E59C8"/>
    <w:pPr>
      <w:ind w:left="1920"/>
    </w:pPr>
  </w:style>
  <w:style w:type="paragraph" w:styleId="Kommentarer">
    <w:name w:val="annotation text"/>
    <w:basedOn w:val="Normal"/>
    <w:semiHidden/>
    <w:rsid w:val="004E59C8"/>
    <w:rPr>
      <w:szCs w:val="20"/>
    </w:rPr>
  </w:style>
  <w:style w:type="character" w:styleId="Kommentarsreferens">
    <w:name w:val="annotation reference"/>
    <w:basedOn w:val="Standardstycketeckensnitt"/>
    <w:semiHidden/>
    <w:rsid w:val="004E59C8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4E59C8"/>
    <w:rPr>
      <w:b/>
      <w:bCs/>
    </w:rPr>
  </w:style>
  <w:style w:type="paragraph" w:styleId="Makrotext">
    <w:name w:val="macro"/>
    <w:semiHidden/>
    <w:rsid w:val="004E5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customStyle="1" w:styleId="PM-Kapitler">
    <w:name w:val="PM - Kapitäler"/>
    <w:basedOn w:val="Normal"/>
    <w:semiHidden/>
    <w:rsid w:val="004E59C8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4E59C8"/>
    <w:pPr>
      <w:spacing w:before="120" w:after="120"/>
    </w:pPr>
  </w:style>
  <w:style w:type="paragraph" w:styleId="Punktlista2">
    <w:name w:val="List Bullet 2"/>
    <w:autoRedefine/>
    <w:qFormat/>
    <w:rsid w:val="002F5612"/>
    <w:pPr>
      <w:numPr>
        <w:numId w:val="26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2F5612"/>
    <w:pPr>
      <w:numPr>
        <w:numId w:val="28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RubrikR">
    <w:name w:val="Rubrik R"/>
    <w:next w:val="Normal"/>
    <w:rsid w:val="005C2902"/>
    <w:pPr>
      <w:keepNext/>
      <w:spacing w:before="240" w:after="120" w:line="288" w:lineRule="auto"/>
    </w:pPr>
    <w:rPr>
      <w:rFonts w:ascii="Verdana" w:hAnsi="Verdana"/>
      <w:b/>
      <w:sz w:val="22"/>
      <w:szCs w:val="24"/>
    </w:rPr>
  </w:style>
  <w:style w:type="paragraph" w:styleId="Sidfot">
    <w:name w:val="footer"/>
    <w:rsid w:val="005C2902"/>
    <w:pPr>
      <w:spacing w:line="200" w:lineRule="exact"/>
    </w:pPr>
    <w:rPr>
      <w:rFonts w:ascii="Verdana" w:hAnsi="Verdana"/>
      <w:sz w:val="14"/>
      <w:szCs w:val="24"/>
    </w:rPr>
  </w:style>
  <w:style w:type="paragraph" w:styleId="Sidhuvud">
    <w:name w:val="header"/>
    <w:basedOn w:val="Normal"/>
    <w:rsid w:val="005C2902"/>
    <w:rPr>
      <w:sz w:val="14"/>
    </w:rPr>
  </w:style>
  <w:style w:type="character" w:styleId="Sidnummer">
    <w:name w:val="page number"/>
    <w:basedOn w:val="Standardstycketeckensnitt"/>
    <w:rsid w:val="004E59C8"/>
  </w:style>
  <w:style w:type="paragraph" w:styleId="Slutnotstext">
    <w:name w:val="endnote text"/>
    <w:basedOn w:val="Normal"/>
    <w:semiHidden/>
    <w:rsid w:val="004E59C8"/>
    <w:rPr>
      <w:szCs w:val="20"/>
    </w:rPr>
  </w:style>
  <w:style w:type="character" w:styleId="Slutnotsreferens">
    <w:name w:val="endnote reference"/>
    <w:basedOn w:val="Standardstycketeckensnitt"/>
    <w:semiHidden/>
    <w:rsid w:val="004E59C8"/>
    <w:rPr>
      <w:vertAlign w:val="superscript"/>
    </w:rPr>
  </w:style>
  <w:style w:type="table" w:styleId="Tabellrutnt">
    <w:name w:val="Table Grid"/>
    <w:basedOn w:val="Normaltabell"/>
    <w:rsid w:val="004E59C8"/>
    <w:tblPr/>
  </w:style>
  <w:style w:type="paragraph" w:styleId="Rubrik">
    <w:name w:val="Title"/>
    <w:basedOn w:val="Normal"/>
    <w:next w:val="Normal"/>
    <w:link w:val="RubrikChar"/>
    <w:qFormat/>
    <w:rsid w:val="008C4CB3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8C4CB3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styleId="Brdtext">
    <w:name w:val="Body Text"/>
    <w:basedOn w:val="Normal"/>
    <w:link w:val="BrdtextChar"/>
    <w:uiPriority w:val="1"/>
    <w:qFormat/>
    <w:rsid w:val="00A70B47"/>
    <w:pPr>
      <w:widowControl w:val="0"/>
      <w:autoSpaceDE w:val="0"/>
      <w:autoSpaceDN w:val="0"/>
      <w:adjustRightInd w:val="0"/>
      <w:spacing w:before="49" w:line="240" w:lineRule="auto"/>
      <w:ind w:left="103"/>
    </w:pPr>
    <w:rPr>
      <w:rFonts w:ascii="Tahoma" w:eastAsiaTheme="minorEastAsia" w:hAnsi="Tahoma" w:cs="Tahoma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A70B47"/>
    <w:rPr>
      <w:rFonts w:ascii="Tahoma" w:eastAsiaTheme="minorEastAsia" w:hAnsi="Tahoma" w:cs="Tahoma"/>
    </w:rPr>
  </w:style>
  <w:style w:type="paragraph" w:customStyle="1" w:styleId="Default">
    <w:name w:val="Default"/>
    <w:rsid w:val="008B3F0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 J U R I D I K ! 1 6 6 5 7 9 7 7 . 1 < / d o c u m e n t i d >  
     < s e n d e r i d > S E P E < / s e n d e r i d >  
     < s e n d e r e m a i l > S E B A S T I A N . P E T E R S E N @ C M S - W I S T R A N D . C O M < / s e n d e r e m a i l >  
     < l a s t m o d i f i e d > 2 0 2 4 - 1 0 - 1 1 T 1 3 : 3 7 : 0 0 . 0 0 0 0 0 0 0 + 0 2 : 0 0 < / l a s t m o d i f i e d >  
     < d a t a b a s e > J U R I D I K 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6" ma:contentTypeDescription="Skapa ett nytt dokument." ma:contentTypeScope="" ma:versionID="0dc4a65b194b9d25f707e8670e03a619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101d51a4e856dbe0b0a0eea1b5aec0dc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D28-CAC8-4E01-98C7-51F4A77FFBA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02A5368-16A7-49BB-920E-731E8FDDF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1691-FE2D-43AB-B14C-F35914750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403b-dc94-405b-8264-548a03b5a0a2"/>
    <ds:schemaRef ds:uri="651f23c4-6d13-44c4-b7df-3aef09049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B8D7F-94C6-4948-9E58-64E0D3D6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752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Malmgren</dc:creator>
  <cp:keywords/>
  <dc:description/>
  <cp:lastModifiedBy>Robin Lundell</cp:lastModifiedBy>
  <cp:revision>16</cp:revision>
  <cp:lastPrinted>2023-04-06T07:52:00Z</cp:lastPrinted>
  <dcterms:created xsi:type="dcterms:W3CDTF">2024-08-15T13:13:00Z</dcterms:created>
  <dcterms:modified xsi:type="dcterms:W3CDTF">2024-10-22T14:57:00Z</dcterms:modified>
</cp:coreProperties>
</file>